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0B4E" w14:textId="77777777" w:rsidR="00581B65" w:rsidRPr="00F72860" w:rsidRDefault="00581B65" w:rsidP="00433124">
      <w:pPr>
        <w:jc w:val="both"/>
        <w:rPr>
          <w:b/>
          <w:sz w:val="24"/>
          <w:szCs w:val="24"/>
        </w:rPr>
      </w:pPr>
      <w:r w:rsidRPr="00F72860">
        <w:rPr>
          <w:b/>
          <w:sz w:val="24"/>
          <w:szCs w:val="24"/>
        </w:rPr>
        <w:t>On the imperturbability of elevator operators: LVII</w:t>
      </w:r>
      <w:r w:rsidR="00AF34E4" w:rsidRPr="00F72860">
        <w:rPr>
          <w:b/>
          <w:sz w:val="24"/>
          <w:szCs w:val="24"/>
        </w:rPr>
        <w:t xml:space="preserve"> </w:t>
      </w:r>
      <w:r w:rsidR="00AF34E4" w:rsidRPr="00F72860">
        <w:rPr>
          <w:b/>
          <w:color w:val="FF0000"/>
          <w:sz w:val="24"/>
          <w:szCs w:val="24"/>
        </w:rPr>
        <w:t xml:space="preserve">(12 </w:t>
      </w:r>
      <w:proofErr w:type="spellStart"/>
      <w:r w:rsidR="00AF34E4" w:rsidRPr="00F72860">
        <w:rPr>
          <w:b/>
          <w:color w:val="FF0000"/>
          <w:sz w:val="24"/>
          <w:szCs w:val="24"/>
        </w:rPr>
        <w:t>pt</w:t>
      </w:r>
      <w:proofErr w:type="spellEnd"/>
      <w:r w:rsidR="00AF34E4" w:rsidRPr="00F72860">
        <w:rPr>
          <w:b/>
          <w:color w:val="FF0000"/>
          <w:sz w:val="24"/>
          <w:szCs w:val="24"/>
        </w:rPr>
        <w:t>)</w:t>
      </w:r>
    </w:p>
    <w:p w14:paraId="05047267" w14:textId="77777777" w:rsidR="00581B65" w:rsidRDefault="00581B65" w:rsidP="00433124">
      <w:pPr>
        <w:jc w:val="both"/>
      </w:pPr>
      <w:bookmarkStart w:id="0" w:name="_GoBack"/>
      <w:bookmarkEnd w:id="0"/>
    </w:p>
    <w:p w14:paraId="16A57C56" w14:textId="77777777" w:rsidR="00581B65" w:rsidRPr="00433124" w:rsidRDefault="00581B65" w:rsidP="00433124">
      <w:pPr>
        <w:jc w:val="both"/>
        <w:rPr>
          <w:b/>
        </w:rPr>
      </w:pPr>
      <w:r w:rsidRPr="00433124">
        <w:rPr>
          <w:b/>
        </w:rPr>
        <w:t xml:space="preserve">S. </w:t>
      </w:r>
      <w:proofErr w:type="spellStart"/>
      <w:r w:rsidRPr="00433124">
        <w:rPr>
          <w:b/>
        </w:rPr>
        <w:t>Candlestickmaker</w:t>
      </w:r>
      <w:r w:rsidR="00AF34E4" w:rsidRPr="00AF34E4">
        <w:rPr>
          <w:b/>
          <w:vertAlign w:val="superscript"/>
        </w:rPr>
        <w:t>a,b</w:t>
      </w:r>
      <w:proofErr w:type="spellEnd"/>
      <w:r w:rsidR="00433124">
        <w:rPr>
          <w:b/>
        </w:rPr>
        <w:t xml:space="preserve"> </w:t>
      </w:r>
      <w:r w:rsidR="00433124" w:rsidRPr="00AF34E4">
        <w:rPr>
          <w:b/>
          <w:color w:val="FF0000"/>
        </w:rPr>
        <w:t>(11</w:t>
      </w:r>
      <w:r w:rsidR="00AF34E4" w:rsidRPr="00AF34E4">
        <w:rPr>
          <w:b/>
          <w:color w:val="FF0000"/>
        </w:rPr>
        <w:t xml:space="preserve"> </w:t>
      </w:r>
      <w:proofErr w:type="spellStart"/>
      <w:r w:rsidR="00AF34E4" w:rsidRPr="00AF34E4">
        <w:rPr>
          <w:b/>
          <w:color w:val="FF0000"/>
        </w:rPr>
        <w:t>pt</w:t>
      </w:r>
      <w:proofErr w:type="spellEnd"/>
      <w:r w:rsidR="00433124" w:rsidRPr="00AF34E4">
        <w:rPr>
          <w:b/>
          <w:color w:val="FF0000"/>
        </w:rPr>
        <w:t>)</w:t>
      </w:r>
    </w:p>
    <w:p w14:paraId="659FBB71" w14:textId="77777777" w:rsidR="00581B65" w:rsidRPr="00433124" w:rsidRDefault="00D7486E" w:rsidP="00433124">
      <w:pPr>
        <w:jc w:val="both"/>
      </w:pPr>
      <w:proofErr w:type="spellStart"/>
      <w:r w:rsidRPr="00D7486E">
        <w:rPr>
          <w:vertAlign w:val="superscript"/>
        </w:rPr>
        <w:t>a</w:t>
      </w:r>
      <w:r w:rsidR="00581B65" w:rsidRPr="00433124">
        <w:t>Institute</w:t>
      </w:r>
      <w:proofErr w:type="spellEnd"/>
      <w:r w:rsidR="00581B65" w:rsidRPr="00433124">
        <w:t xml:space="preserve"> for Studied Advances</w:t>
      </w:r>
    </w:p>
    <w:p w14:paraId="3BE6D3D7" w14:textId="77777777" w:rsidR="00581B65" w:rsidRDefault="00581B65" w:rsidP="00433124">
      <w:pPr>
        <w:jc w:val="both"/>
      </w:pPr>
      <w:r w:rsidRPr="00433124">
        <w:t>Old Cardigan, Wales</w:t>
      </w:r>
    </w:p>
    <w:p w14:paraId="2159A743" w14:textId="77777777" w:rsidR="00D7486E" w:rsidRDefault="00D7486E" w:rsidP="00433124">
      <w:pPr>
        <w:jc w:val="both"/>
      </w:pPr>
      <w:proofErr w:type="spellStart"/>
      <w:r w:rsidRPr="00D7486E">
        <w:rPr>
          <w:vertAlign w:val="superscript"/>
        </w:rPr>
        <w:t>b</w:t>
      </w:r>
      <w:r>
        <w:t>Institute</w:t>
      </w:r>
      <w:proofErr w:type="spellEnd"/>
      <w:r>
        <w:t xml:space="preserve"> </w:t>
      </w:r>
      <w:r w:rsidR="00E71B9A">
        <w:t>for</w:t>
      </w:r>
      <w:r>
        <w:t xml:space="preserve"> Physical Theory</w:t>
      </w:r>
    </w:p>
    <w:p w14:paraId="07728C1C" w14:textId="77777777" w:rsidR="00D7486E" w:rsidRPr="00433124" w:rsidRDefault="00D7486E" w:rsidP="00433124">
      <w:pPr>
        <w:jc w:val="both"/>
      </w:pPr>
      <w:r>
        <w:t>Nipomo, CA 93444</w:t>
      </w:r>
    </w:p>
    <w:p w14:paraId="5075CEAF" w14:textId="77777777" w:rsidR="00581B65" w:rsidRDefault="00581B65" w:rsidP="00433124">
      <w:pPr>
        <w:jc w:val="both"/>
      </w:pPr>
    </w:p>
    <w:tbl>
      <w:tblPr>
        <w:tblStyle w:val="TableGrid"/>
        <w:tblpPr w:leftFromText="180" w:rightFromText="180" w:vertAnchor="text" w:horzAnchor="page" w:tblpX="8520" w:tblpY="1005"/>
        <w:tblW w:w="0" w:type="auto"/>
        <w:tblLook w:val="04A0" w:firstRow="1" w:lastRow="0" w:firstColumn="1" w:lastColumn="0" w:noHBand="0" w:noVBand="1"/>
      </w:tblPr>
      <w:tblGrid>
        <w:gridCol w:w="2424"/>
      </w:tblGrid>
      <w:tr w:rsidR="00E71B9A" w14:paraId="1EF71F30" w14:textId="77777777" w:rsidTr="00E71B9A">
        <w:tc>
          <w:tcPr>
            <w:tcW w:w="2424" w:type="dxa"/>
          </w:tcPr>
          <w:p w14:paraId="5286F879" w14:textId="77777777" w:rsidR="00E71B9A" w:rsidRDefault="00E71B9A" w:rsidP="00E71B9A">
            <w:pPr>
              <w:jc w:val="both"/>
            </w:pPr>
            <w:r>
              <w:rPr>
                <w:noProof/>
              </w:rPr>
              <w:drawing>
                <wp:inline distT="0" distB="0" distL="0" distR="0" wp14:anchorId="0116F24C" wp14:editId="685A0BF3">
                  <wp:extent cx="1398354" cy="1308417"/>
                  <wp:effectExtent l="0" t="0" r="0" b="12700"/>
                  <wp:docPr id="2" name="Picture 2" descr="/Users/seshadr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eshadri/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453" cy="1313188"/>
                          </a:xfrm>
                          <a:prstGeom prst="rect">
                            <a:avLst/>
                          </a:prstGeom>
                          <a:noFill/>
                          <a:ln>
                            <a:noFill/>
                          </a:ln>
                        </pic:spPr>
                      </pic:pic>
                    </a:graphicData>
                  </a:graphic>
                </wp:inline>
              </w:drawing>
            </w:r>
          </w:p>
        </w:tc>
      </w:tr>
      <w:tr w:rsidR="00E71B9A" w14:paraId="4A73936D" w14:textId="77777777" w:rsidTr="00E71B9A">
        <w:tc>
          <w:tcPr>
            <w:tcW w:w="2424" w:type="dxa"/>
          </w:tcPr>
          <w:p w14:paraId="09743721" w14:textId="77777777" w:rsidR="00E71B9A" w:rsidRPr="00E71B9A" w:rsidRDefault="00E71B9A" w:rsidP="00E71B9A">
            <w:pPr>
              <w:rPr>
                <w:b/>
                <w:sz w:val="18"/>
                <w:szCs w:val="18"/>
              </w:rPr>
            </w:pPr>
            <w:r w:rsidRPr="00E71B9A">
              <w:rPr>
                <w:b/>
                <w:sz w:val="18"/>
                <w:szCs w:val="18"/>
              </w:rPr>
              <w:t xml:space="preserve">Caption, left justified in 9 </w:t>
            </w:r>
            <w:proofErr w:type="spellStart"/>
            <w:r w:rsidRPr="00E71B9A">
              <w:rPr>
                <w:b/>
                <w:sz w:val="18"/>
                <w:szCs w:val="18"/>
              </w:rPr>
              <w:t>pt</w:t>
            </w:r>
            <w:proofErr w:type="spellEnd"/>
            <w:r w:rsidRPr="00E71B9A">
              <w:rPr>
                <w:b/>
                <w:sz w:val="18"/>
                <w:szCs w:val="18"/>
              </w:rPr>
              <w:t xml:space="preserve"> </w:t>
            </w:r>
            <w:r>
              <w:rPr>
                <w:b/>
                <w:sz w:val="18"/>
                <w:szCs w:val="18"/>
              </w:rPr>
              <w:t>bold text</w:t>
            </w:r>
            <w:r w:rsidRPr="00E71B9A">
              <w:rPr>
                <w:b/>
                <w:sz w:val="18"/>
                <w:szCs w:val="18"/>
              </w:rPr>
              <w:t>. Hide the table borders when done.</w:t>
            </w:r>
            <w:r>
              <w:rPr>
                <w:b/>
                <w:sz w:val="18"/>
                <w:szCs w:val="18"/>
              </w:rPr>
              <w:t xml:space="preserve"> Resize if required.</w:t>
            </w:r>
          </w:p>
        </w:tc>
      </w:tr>
    </w:tbl>
    <w:p w14:paraId="4EEB9D68" w14:textId="771868D4" w:rsidR="002F240E" w:rsidRDefault="00581B65" w:rsidP="00433124">
      <w:pPr>
        <w:jc w:val="both"/>
      </w:pPr>
      <w:r>
        <w:t xml:space="preserve">In this paper the theory of elevator operators is completed to the extent that is needed in the elementary theory of Field’s. It is shown that the matrix of an elevator operator cannot be inverted, no matter how rapid the elevation. An explicit solution is obtained for the case when the occupation number is zero. In an earlier paper </w:t>
      </w:r>
      <w:r w:rsidR="00F72860">
        <w:t>[1]</w:t>
      </w:r>
      <w:r>
        <w:t xml:space="preserve"> the simultaneous effect of a magnetic field, an electric field, a Marshall field, rotation, revolution, translation, and retranslation on the equanimity of an elevator operator has been considered. However, the discussion in that paper was limited to the case when incivility sets in as a stationary pattern of dejection; the alternative possibility of </w:t>
      </w:r>
      <w:proofErr w:type="spellStart"/>
      <w:r>
        <w:t>overcivility</w:t>
      </w:r>
      <w:proofErr w:type="spellEnd"/>
      <w:r>
        <w:t xml:space="preserve"> was not considered. The latter possibility is known to occur when a Marshall field alone is present; and its occur</w:t>
      </w:r>
      <w:r w:rsidR="00433124">
        <w:t>re</w:t>
      </w:r>
      <w:r>
        <w:t xml:space="preserve">nce has been experimentally demonstrated by </w:t>
      </w:r>
      <w:proofErr w:type="spellStart"/>
      <w:r>
        <w:t>Shopwalker</w:t>
      </w:r>
      <w:proofErr w:type="spellEnd"/>
      <w:r>
        <w:t xml:space="preserve"> and Salesperson </w:t>
      </w:r>
      <w:r w:rsidR="00F72860">
        <w:t>[2]</w:t>
      </w:r>
      <w:r>
        <w:t xml:space="preserve"> in complete disagreement with the theoretical predictions </w:t>
      </w:r>
      <w:r w:rsidR="00F72860">
        <w:t>[3]</w:t>
      </w:r>
      <w:r>
        <w:t xml:space="preserve">. The possibility of </w:t>
      </w:r>
      <w:proofErr w:type="spellStart"/>
      <w:r>
        <w:t>overcivility</w:t>
      </w:r>
      <w:proofErr w:type="spellEnd"/>
      <w:r>
        <w:t xml:space="preserve"> when no Marshall field is pres</w:t>
      </w:r>
      <w:r w:rsidR="00F72860">
        <w:t>ent has also been investigated [2]</w:t>
      </w:r>
      <w:r>
        <w:t>; and it has been shown that with substances such as U and I it cannot occur. It is therefore a matter of some importance that the manner of the onset of incivility be determined. This paper is devoted to this problem.</w:t>
      </w:r>
    </w:p>
    <w:p w14:paraId="40026C55" w14:textId="77777777" w:rsidR="00581B65" w:rsidRDefault="00581B65" w:rsidP="00D7486E">
      <w:pPr>
        <w:ind w:firstLine="720"/>
        <w:jc w:val="both"/>
      </w:pPr>
      <w:r>
        <w:t>The research reported in the paper has in part been suppressed by the Office of Naval Research under Contract A1-tum-OU812 with the Institute for Studied Advances.</w:t>
      </w:r>
    </w:p>
    <w:p w14:paraId="3802D2A5" w14:textId="77777777" w:rsidR="00581B65" w:rsidRDefault="00581B65" w:rsidP="00433124">
      <w:pPr>
        <w:jc w:val="both"/>
      </w:pPr>
    </w:p>
    <w:p w14:paraId="5F57CEA5" w14:textId="77777777" w:rsidR="00581B65" w:rsidRPr="00E71B9A" w:rsidRDefault="00581B65" w:rsidP="00433124">
      <w:pPr>
        <w:jc w:val="both"/>
        <w:rPr>
          <w:b/>
        </w:rPr>
      </w:pPr>
      <w:r w:rsidRPr="00E71B9A">
        <w:rPr>
          <w:b/>
        </w:rPr>
        <w:t>References</w:t>
      </w:r>
      <w:r w:rsidR="00D7486E" w:rsidRPr="00E71B9A">
        <w:rPr>
          <w:b/>
        </w:rPr>
        <w:t>:</w:t>
      </w:r>
    </w:p>
    <w:p w14:paraId="469F6D74" w14:textId="77777777" w:rsidR="00D7486E" w:rsidRPr="00E71B9A" w:rsidRDefault="00D7486E" w:rsidP="00433124">
      <w:pPr>
        <w:jc w:val="both"/>
      </w:pPr>
    </w:p>
    <w:p w14:paraId="6D36C8FD" w14:textId="77777777" w:rsidR="00E71B9A" w:rsidRPr="00E71B9A" w:rsidRDefault="00E71B9A" w:rsidP="00E71B9A">
      <w:pPr>
        <w:pStyle w:val="ListParagraph"/>
        <w:numPr>
          <w:ilvl w:val="0"/>
          <w:numId w:val="1"/>
        </w:numPr>
        <w:jc w:val="both"/>
        <w:rPr>
          <w:rFonts w:ascii="Constantia" w:hAnsi="Constantia"/>
          <w:sz w:val="22"/>
          <w:szCs w:val="22"/>
        </w:rPr>
      </w:pPr>
      <w:r w:rsidRPr="00E71B9A">
        <w:rPr>
          <w:rFonts w:ascii="Constantia" w:hAnsi="Constantia"/>
          <w:sz w:val="22"/>
          <w:szCs w:val="22"/>
        </w:rPr>
        <w:t xml:space="preserve">J. Yu, Y. </w:t>
      </w:r>
      <w:proofErr w:type="spellStart"/>
      <w:r w:rsidRPr="00E71B9A">
        <w:rPr>
          <w:rFonts w:ascii="Constantia" w:hAnsi="Constantia"/>
          <w:sz w:val="22"/>
          <w:szCs w:val="22"/>
        </w:rPr>
        <w:t>Kan</w:t>
      </w:r>
      <w:proofErr w:type="spellEnd"/>
      <w:r w:rsidRPr="00E71B9A">
        <w:rPr>
          <w:rFonts w:ascii="Constantia" w:hAnsi="Constantia"/>
          <w:sz w:val="22"/>
          <w:szCs w:val="22"/>
        </w:rPr>
        <w:t xml:space="preserve">, M. Rapp, E. Danner, W. Wei, S. Das, D. R. Miller, Y. Chen, J. H. Waite, and J. N. </w:t>
      </w:r>
      <w:proofErr w:type="spellStart"/>
      <w:r w:rsidRPr="00E71B9A">
        <w:rPr>
          <w:rFonts w:ascii="Constantia" w:hAnsi="Constantia"/>
          <w:sz w:val="22"/>
          <w:szCs w:val="22"/>
        </w:rPr>
        <w:t>Israelachvili</w:t>
      </w:r>
      <w:proofErr w:type="spellEnd"/>
      <w:r w:rsidRPr="00E71B9A">
        <w:rPr>
          <w:rFonts w:ascii="Constantia" w:hAnsi="Constantia"/>
          <w:sz w:val="22"/>
          <w:szCs w:val="22"/>
        </w:rPr>
        <w:t xml:space="preserve">, Adaptive hydrophobic and hydrophilic interactions of mussel foot proteins with organic thin films, </w:t>
      </w:r>
      <w:r w:rsidRPr="00E71B9A">
        <w:rPr>
          <w:rFonts w:ascii="Constantia" w:hAnsi="Constantia"/>
          <w:i/>
          <w:sz w:val="22"/>
          <w:szCs w:val="22"/>
        </w:rPr>
        <w:t xml:space="preserve">Proc. Natl. Acad. </w:t>
      </w:r>
      <w:r w:rsidRPr="00E71B9A">
        <w:rPr>
          <w:rFonts w:ascii="Constantia" w:hAnsi="Constantia"/>
          <w:sz w:val="22"/>
          <w:szCs w:val="22"/>
        </w:rPr>
        <w:t>Sci</w:t>
      </w:r>
      <w:r w:rsidRPr="00E71B9A">
        <w:rPr>
          <w:rFonts w:ascii="Constantia" w:hAnsi="Constantia"/>
          <w:i/>
          <w:sz w:val="22"/>
          <w:szCs w:val="22"/>
        </w:rPr>
        <w:t>.</w:t>
      </w:r>
      <w:r w:rsidRPr="00E71B9A">
        <w:rPr>
          <w:rFonts w:ascii="Constantia" w:hAnsi="Constantia"/>
          <w:sz w:val="22"/>
          <w:szCs w:val="22"/>
        </w:rPr>
        <w:t xml:space="preserve"> </w:t>
      </w:r>
      <w:r w:rsidRPr="00E71B9A">
        <w:rPr>
          <w:rFonts w:ascii="Constantia" w:hAnsi="Constantia"/>
          <w:b/>
          <w:sz w:val="22"/>
          <w:szCs w:val="22"/>
        </w:rPr>
        <w:t>110</w:t>
      </w:r>
      <w:r w:rsidRPr="00E71B9A">
        <w:rPr>
          <w:rFonts w:ascii="Constantia" w:hAnsi="Constantia"/>
          <w:sz w:val="22"/>
          <w:szCs w:val="22"/>
        </w:rPr>
        <w:t xml:space="preserve"> (2013) 15680–15685. DOI: 10.1073/pnas.1315015110</w:t>
      </w:r>
    </w:p>
    <w:p w14:paraId="69C9878C" w14:textId="77777777" w:rsidR="00E71B9A" w:rsidRPr="00E71B9A" w:rsidRDefault="00E71B9A" w:rsidP="00E71B9A">
      <w:pPr>
        <w:pStyle w:val="ListParagraph"/>
        <w:numPr>
          <w:ilvl w:val="0"/>
          <w:numId w:val="1"/>
        </w:numPr>
        <w:jc w:val="both"/>
        <w:rPr>
          <w:rFonts w:ascii="Constantia" w:hAnsi="Constantia"/>
          <w:sz w:val="22"/>
          <w:szCs w:val="22"/>
        </w:rPr>
      </w:pPr>
      <w:r w:rsidRPr="00E71B9A">
        <w:rPr>
          <w:rFonts w:ascii="Constantia" w:hAnsi="Constantia"/>
          <w:sz w:val="22"/>
          <w:szCs w:val="22"/>
        </w:rPr>
        <w:t xml:space="preserve">Q. Lu, E. Danner, J. H. Waite, J. N. </w:t>
      </w:r>
      <w:proofErr w:type="spellStart"/>
      <w:r w:rsidRPr="00E71B9A">
        <w:rPr>
          <w:rFonts w:ascii="Constantia" w:hAnsi="Constantia"/>
          <w:sz w:val="22"/>
          <w:szCs w:val="22"/>
        </w:rPr>
        <w:t>Israelachvili</w:t>
      </w:r>
      <w:proofErr w:type="spellEnd"/>
      <w:r w:rsidRPr="00E71B9A">
        <w:rPr>
          <w:rFonts w:ascii="Constantia" w:hAnsi="Constantia"/>
          <w:sz w:val="22"/>
          <w:szCs w:val="22"/>
        </w:rPr>
        <w:t xml:space="preserve">, H. Zeng, and D. S. Hwang, Adhesion of mussel foot proteins to different substrate surfaces, </w:t>
      </w:r>
      <w:r w:rsidRPr="00E71B9A">
        <w:rPr>
          <w:rFonts w:ascii="Constantia" w:hAnsi="Constantia"/>
          <w:i/>
          <w:sz w:val="22"/>
          <w:szCs w:val="22"/>
        </w:rPr>
        <w:t>J. R. Soc. Interface</w:t>
      </w:r>
      <w:r w:rsidRPr="00E71B9A">
        <w:rPr>
          <w:rFonts w:ascii="Constantia" w:hAnsi="Constantia"/>
          <w:sz w:val="22"/>
          <w:szCs w:val="22"/>
        </w:rPr>
        <w:t xml:space="preserve"> </w:t>
      </w:r>
      <w:r w:rsidRPr="00E71B9A">
        <w:rPr>
          <w:rFonts w:ascii="Constantia" w:hAnsi="Constantia"/>
          <w:b/>
          <w:sz w:val="22"/>
          <w:szCs w:val="22"/>
        </w:rPr>
        <w:t>10</w:t>
      </w:r>
      <w:r w:rsidRPr="00E71B9A">
        <w:rPr>
          <w:rFonts w:ascii="Constantia" w:hAnsi="Constantia"/>
          <w:sz w:val="22"/>
          <w:szCs w:val="22"/>
        </w:rPr>
        <w:t xml:space="preserve"> (2013) 20120759. DOI: 10.1098/rsif.2012.0759 </w:t>
      </w:r>
    </w:p>
    <w:p w14:paraId="7361E697" w14:textId="77777777" w:rsidR="00581B65" w:rsidRPr="00E71B9A" w:rsidRDefault="00E71B9A" w:rsidP="00433124">
      <w:pPr>
        <w:pStyle w:val="ListParagraph"/>
        <w:numPr>
          <w:ilvl w:val="0"/>
          <w:numId w:val="1"/>
        </w:numPr>
        <w:jc w:val="both"/>
        <w:rPr>
          <w:rFonts w:ascii="Constantia" w:hAnsi="Constantia"/>
          <w:sz w:val="22"/>
          <w:szCs w:val="22"/>
        </w:rPr>
      </w:pPr>
      <w:r w:rsidRPr="00E71B9A">
        <w:rPr>
          <w:rFonts w:ascii="Constantia" w:hAnsi="Constantia"/>
          <w:sz w:val="22"/>
          <w:szCs w:val="22"/>
        </w:rPr>
        <w:t xml:space="preserve">S. Das, N. R. M. Rodriguez, W. Wei, J. H. Waite, and J. N. </w:t>
      </w:r>
      <w:proofErr w:type="spellStart"/>
      <w:r w:rsidRPr="00E71B9A">
        <w:rPr>
          <w:rFonts w:ascii="Constantia" w:hAnsi="Constantia"/>
          <w:sz w:val="22"/>
          <w:szCs w:val="22"/>
        </w:rPr>
        <w:t>Israelachvili</w:t>
      </w:r>
      <w:proofErr w:type="spellEnd"/>
      <w:r w:rsidRPr="00E71B9A">
        <w:rPr>
          <w:rFonts w:ascii="Constantia" w:hAnsi="Constantia"/>
          <w:sz w:val="22"/>
          <w:szCs w:val="22"/>
        </w:rPr>
        <w:t xml:space="preserve">, Peptide length and </w:t>
      </w:r>
      <w:proofErr w:type="spellStart"/>
      <w:r w:rsidRPr="00E71B9A">
        <w:rPr>
          <w:rFonts w:ascii="Constantia" w:hAnsi="Constantia"/>
          <w:sz w:val="22"/>
          <w:szCs w:val="22"/>
        </w:rPr>
        <w:t>dopa</w:t>
      </w:r>
      <w:proofErr w:type="spellEnd"/>
      <w:r w:rsidRPr="00E71B9A">
        <w:rPr>
          <w:rFonts w:ascii="Constantia" w:hAnsi="Constantia"/>
          <w:sz w:val="22"/>
          <w:szCs w:val="22"/>
        </w:rPr>
        <w:t xml:space="preserve"> determine iron‐mediated cohesion of mussel foot proteins, </w:t>
      </w:r>
      <w:r w:rsidRPr="00E71B9A">
        <w:rPr>
          <w:rFonts w:ascii="Constantia" w:hAnsi="Constantia"/>
          <w:i/>
          <w:sz w:val="22"/>
          <w:szCs w:val="22"/>
        </w:rPr>
        <w:t xml:space="preserve">Adv. </w:t>
      </w:r>
      <w:proofErr w:type="spellStart"/>
      <w:r w:rsidRPr="00E71B9A">
        <w:rPr>
          <w:rFonts w:ascii="Constantia" w:hAnsi="Constantia"/>
          <w:i/>
          <w:sz w:val="22"/>
          <w:szCs w:val="22"/>
        </w:rPr>
        <w:t>Func</w:t>
      </w:r>
      <w:proofErr w:type="spellEnd"/>
      <w:r w:rsidRPr="00E71B9A">
        <w:rPr>
          <w:rFonts w:ascii="Constantia" w:hAnsi="Constantia"/>
          <w:i/>
          <w:sz w:val="22"/>
          <w:szCs w:val="22"/>
        </w:rPr>
        <w:t>. Mater.</w:t>
      </w:r>
      <w:r w:rsidRPr="00E71B9A">
        <w:rPr>
          <w:rFonts w:ascii="Constantia" w:hAnsi="Constantia"/>
          <w:sz w:val="22"/>
          <w:szCs w:val="22"/>
        </w:rPr>
        <w:t xml:space="preserve"> </w:t>
      </w:r>
      <w:r w:rsidRPr="00E71B9A">
        <w:rPr>
          <w:rFonts w:ascii="Constantia" w:hAnsi="Constantia"/>
          <w:b/>
          <w:sz w:val="22"/>
          <w:szCs w:val="22"/>
        </w:rPr>
        <w:t>25</w:t>
      </w:r>
      <w:r w:rsidRPr="00E71B9A">
        <w:rPr>
          <w:rFonts w:ascii="Constantia" w:hAnsi="Constantia"/>
          <w:sz w:val="22"/>
          <w:szCs w:val="22"/>
        </w:rPr>
        <w:t xml:space="preserve"> (2015) 5840–5847. DOI: 10.1002/adfm.201502256</w:t>
      </w:r>
    </w:p>
    <w:sectPr w:rsidR="00581B65" w:rsidRPr="00E71B9A" w:rsidSect="002378E5">
      <w:headerReference w:type="default" r:id="rId8"/>
      <w:footerReference w:type="even" r:id="rId9"/>
      <w:footerReference w:type="default" r:id="rId10"/>
      <w:pgSz w:w="12240" w:h="15840"/>
      <w:pgMar w:top="1440" w:right="1440" w:bottom="1440" w:left="144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D5F3D" w14:textId="77777777" w:rsidR="00E7031E" w:rsidRDefault="00E7031E" w:rsidP="002378E5">
      <w:r>
        <w:separator/>
      </w:r>
    </w:p>
  </w:endnote>
  <w:endnote w:type="continuationSeparator" w:id="0">
    <w:p w14:paraId="0694EEE1" w14:textId="77777777" w:rsidR="00E7031E" w:rsidRDefault="00E7031E" w:rsidP="0023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2E39" w14:textId="77777777" w:rsidR="002378E5" w:rsidRDefault="002378E5" w:rsidP="004A6C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C2436" w14:textId="77777777" w:rsidR="002378E5" w:rsidRDefault="002378E5" w:rsidP="00237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1CB0" w14:textId="657E91F6" w:rsidR="002378E5" w:rsidRDefault="002378E5" w:rsidP="004A6C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6F9">
      <w:rPr>
        <w:rStyle w:val="PageNumber"/>
        <w:noProof/>
      </w:rPr>
      <w:t>1</w:t>
    </w:r>
    <w:r>
      <w:rPr>
        <w:rStyle w:val="PageNumber"/>
      </w:rPr>
      <w:fldChar w:fldCharType="end"/>
    </w:r>
  </w:p>
  <w:p w14:paraId="2D2F8A7E" w14:textId="77777777" w:rsidR="002378E5" w:rsidRPr="002378E5" w:rsidRDefault="002378E5" w:rsidP="002378E5">
    <w:pPr>
      <w:pStyle w:val="Footer"/>
      <w:ind w:right="360"/>
      <w:rPr>
        <w:smallCaps/>
      </w:rPr>
    </w:pPr>
    <w:r w:rsidRPr="002378E5">
      <w:rPr>
        <w:smallCaps/>
      </w:rPr>
      <w:t>Abstracts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97BAD" w14:textId="77777777" w:rsidR="00E7031E" w:rsidRDefault="00E7031E" w:rsidP="002378E5">
      <w:r>
        <w:separator/>
      </w:r>
    </w:p>
  </w:footnote>
  <w:footnote w:type="continuationSeparator" w:id="0">
    <w:p w14:paraId="43AD388B" w14:textId="77777777" w:rsidR="00E7031E" w:rsidRDefault="00E7031E" w:rsidP="0023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3E3D" w14:textId="1C794A04" w:rsidR="002378E5" w:rsidRPr="002378E5" w:rsidRDefault="00A066F9" w:rsidP="002378E5">
    <w:pPr>
      <w:pStyle w:val="Header"/>
      <w:jc w:val="right"/>
      <w:rPr>
        <w:smallCaps/>
      </w:rPr>
    </w:pPr>
    <w:r>
      <w:rPr>
        <w:smallCaps/>
      </w:rPr>
      <w:t>North American Solid State Chemistry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253A9"/>
    <w:multiLevelType w:val="hybridMultilevel"/>
    <w:tmpl w:val="80629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3"/>
    <w:rsid w:val="00140688"/>
    <w:rsid w:val="001B150E"/>
    <w:rsid w:val="002378E5"/>
    <w:rsid w:val="0029362E"/>
    <w:rsid w:val="002D2373"/>
    <w:rsid w:val="002F3A2D"/>
    <w:rsid w:val="003017C1"/>
    <w:rsid w:val="0038023F"/>
    <w:rsid w:val="00433124"/>
    <w:rsid w:val="00581B65"/>
    <w:rsid w:val="00582443"/>
    <w:rsid w:val="005A2092"/>
    <w:rsid w:val="005E1C37"/>
    <w:rsid w:val="00922AE8"/>
    <w:rsid w:val="00A066F9"/>
    <w:rsid w:val="00A64A74"/>
    <w:rsid w:val="00AF34E4"/>
    <w:rsid w:val="00BB62E7"/>
    <w:rsid w:val="00C44632"/>
    <w:rsid w:val="00D46EC7"/>
    <w:rsid w:val="00D7486E"/>
    <w:rsid w:val="00E048BF"/>
    <w:rsid w:val="00E57864"/>
    <w:rsid w:val="00E7031E"/>
    <w:rsid w:val="00E71B9A"/>
    <w:rsid w:val="00EE26A2"/>
    <w:rsid w:val="00F7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A49C"/>
  <w15:docId w15:val="{16CE7913-2AAF-4268-9E4F-32DBC9E7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78E5"/>
    <w:rPr>
      <w:rFonts w:ascii="Constantia" w:hAnsi="Constant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8E5"/>
    <w:pPr>
      <w:tabs>
        <w:tab w:val="center" w:pos="4680"/>
        <w:tab w:val="right" w:pos="9360"/>
      </w:tabs>
    </w:pPr>
  </w:style>
  <w:style w:type="character" w:customStyle="1" w:styleId="FooterChar">
    <w:name w:val="Footer Char"/>
    <w:basedOn w:val="DefaultParagraphFont"/>
    <w:link w:val="Footer"/>
    <w:uiPriority w:val="99"/>
    <w:rsid w:val="002378E5"/>
    <w:rPr>
      <w:rFonts w:ascii="Constantia" w:hAnsi="Constantia"/>
    </w:rPr>
  </w:style>
  <w:style w:type="character" w:styleId="PageNumber">
    <w:name w:val="page number"/>
    <w:basedOn w:val="DefaultParagraphFont"/>
    <w:uiPriority w:val="99"/>
    <w:semiHidden/>
    <w:unhideWhenUsed/>
    <w:rsid w:val="002378E5"/>
  </w:style>
  <w:style w:type="paragraph" w:styleId="Header">
    <w:name w:val="header"/>
    <w:basedOn w:val="Normal"/>
    <w:link w:val="HeaderChar"/>
    <w:uiPriority w:val="99"/>
    <w:unhideWhenUsed/>
    <w:rsid w:val="002378E5"/>
    <w:pPr>
      <w:tabs>
        <w:tab w:val="center" w:pos="4680"/>
        <w:tab w:val="right" w:pos="9360"/>
      </w:tabs>
    </w:pPr>
  </w:style>
  <w:style w:type="character" w:customStyle="1" w:styleId="HeaderChar">
    <w:name w:val="Header Char"/>
    <w:basedOn w:val="DefaultParagraphFont"/>
    <w:link w:val="Header"/>
    <w:uiPriority w:val="99"/>
    <w:rsid w:val="002378E5"/>
    <w:rPr>
      <w:rFonts w:ascii="Constantia" w:hAnsi="Constantia"/>
    </w:rPr>
  </w:style>
  <w:style w:type="table" w:styleId="TableGrid">
    <w:name w:val="Table Grid"/>
    <w:basedOn w:val="TableNormal"/>
    <w:uiPriority w:val="39"/>
    <w:rsid w:val="00D7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B9A"/>
    <w:pPr>
      <w:ind w:left="720"/>
      <w:contextualSpacing/>
    </w:pPr>
    <w:rPr>
      <w:rFonts w:ascii="Palatino Linotype" w:eastAsia="Cambria" w:hAnsi="Palatino Linotype"/>
      <w:sz w:val="20"/>
      <w:szCs w:val="20"/>
    </w:rPr>
  </w:style>
  <w:style w:type="paragraph" w:styleId="BalloonText">
    <w:name w:val="Balloon Text"/>
    <w:basedOn w:val="Normal"/>
    <w:link w:val="BalloonTextChar"/>
    <w:uiPriority w:val="99"/>
    <w:semiHidden/>
    <w:unhideWhenUsed/>
    <w:rsid w:val="00F72860"/>
    <w:rPr>
      <w:rFonts w:ascii="Tahoma" w:hAnsi="Tahoma" w:cs="Tahoma"/>
      <w:sz w:val="16"/>
      <w:szCs w:val="16"/>
    </w:rPr>
  </w:style>
  <w:style w:type="character" w:customStyle="1" w:styleId="BalloonTextChar">
    <w:name w:val="Balloon Text Char"/>
    <w:basedOn w:val="DefaultParagraphFont"/>
    <w:link w:val="BalloonText"/>
    <w:uiPriority w:val="99"/>
    <w:semiHidden/>
    <w:rsid w:val="00F72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Hayden</cp:lastModifiedBy>
  <cp:revision>2</cp:revision>
  <dcterms:created xsi:type="dcterms:W3CDTF">2017-03-01T00:49:00Z</dcterms:created>
  <dcterms:modified xsi:type="dcterms:W3CDTF">2017-03-01T00:49:00Z</dcterms:modified>
</cp:coreProperties>
</file>